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08" w:before="0" w:after="0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-1732915</wp:posOffset>
            </wp:positionH>
            <wp:positionV relativeFrom="paragraph">
              <wp:posOffset>-720090</wp:posOffset>
            </wp:positionV>
            <wp:extent cx="7716520" cy="1005840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652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64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pStyle w:val="Normal"/>
        <w:spacing w:lineRule="auto" w:line="264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C3"/>
        <w:shd w:val="clear" w:color="auto" w:fill="FFFFFF"/>
        <w:spacing w:beforeAutospacing="0" w:before="280" w:afterAutospacing="0" w:after="0"/>
        <w:jc w:val="both"/>
        <w:rPr>
          <w:color w:val="000000"/>
        </w:rPr>
      </w:pPr>
      <w:r>
        <w:rPr>
          <w:rStyle w:val="C1"/>
          <w:color w:val="000000"/>
        </w:rPr>
        <w:t>Программа по английскому языку  элективного курса  «Функциональная грамотность. Читательская грамотность» составлена в соответствии с  требованиями  Федерального государственного образовательного стандарта  основного общего образования и направлена на формирование и  развитие читательских навыков   на английском языке учащихся 7 классов.            </w:t>
      </w:r>
    </w:p>
    <w:p>
      <w:pPr>
        <w:pStyle w:val="C3"/>
        <w:shd w:val="clear" w:color="auto" w:fill="FFFFFF"/>
        <w:spacing w:beforeAutospacing="0" w:before="280" w:afterAutospacing="0" w:after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Программа  для учащихся 7 класса реализуется на шестом году обучения английскому языку.  </w:t>
      </w:r>
    </w:p>
    <w:p>
      <w:pPr>
        <w:pStyle w:val="C3"/>
        <w:shd w:val="clear" w:color="auto" w:fill="FFFFFF"/>
        <w:spacing w:beforeAutospacing="0" w:before="280" w:afterAutospacing="0" w:after="0"/>
        <w:jc w:val="both"/>
        <w:rPr>
          <w:color w:val="000000"/>
        </w:rPr>
      </w:pPr>
      <w:r>
        <w:rPr>
          <w:rStyle w:val="C1"/>
          <w:color w:val="000000"/>
        </w:rPr>
        <w:t>Программа рассчитана на 17 учебных часов, 1 час в неделю.</w:t>
      </w:r>
    </w:p>
    <w:p>
      <w:pPr>
        <w:pStyle w:val="Normal"/>
        <w:spacing w:lineRule="auto" w:line="264" w:before="0" w:after="0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64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Рабочая программа составлена на основе серии пособий «Функциональная грамотность. Учимся для жизни. Сборник эталонных заданий». Учебное пособие для общеобразовательных организаций; под редакцией Г.С. Ковалёвой, Л.О. Рословой. – М.; СПб.: Просвещение, 2020», учебного пособия для общеобразовательных организаций «Развитие функциональной грамотности обучающихся основной школы: методическое пособие для педагогов / Под общей редакцией Л.Ю. Панариной, И.В. Сорокиной, О.А. Смагиной, Е.А. Зайцевой. – Самара: СИПКРО, 2019»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Цель программы</w:t>
      </w:r>
      <w:r>
        <w:rPr>
          <w:rFonts w:cs="Times New Roman" w:ascii="Times New Roman" w:hAnsi="Times New Roman"/>
          <w:sz w:val="24"/>
          <w:szCs w:val="24"/>
        </w:rPr>
        <w:t xml:space="preserve">: развитие функциональной грамотности учащихся 7 классов как индикатор качества и эффективности образования, равенства доступа к образованию. Понимать, использовать, оценивать тексты на английском языке, размышлять о них и заниматься чтением для того, чтобы достигать своих целей, расширять свои знания и возможности, участвовать в социальной жизни.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Задачи программы: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- учебно-познавательные задачи, направленные на формирование и оценку навыка самостоятельного приобретения, переноса и интеграции знаний как результата использования знаково-символических средств и/или логических операций сравнения, анализа, синтеза, обобщения, интерпретации, оценки, классификации по родовидовым признакам, установления аналогий и причинно-следственных связей, построения рассуждений, соотнесения с известным, требующие от учащихся более глубокого понимания изученного и/или выдвижения новых для них идей, иной точки зрения, создания или исследования новой информации, преобразования известной информации, представления её в новой форме, переноса в иной контекст и т. п.;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- учебно-практические задачи, направленные на формирование и оценку навыка коммуникации, требующие создания письменного или устного текста/высказывания с заданными параметрами: коммуникативной задачей, темой, объёмом, форматом.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Основные психолого-педагогические принципы реализации программы.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Для достижения целей программы необходимо строить внеурочную деятельность в соответствии со следующими принципами: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Принцип гуманистической направленности.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субъектности школьников, создаются условия для формирования у учащихся умений и навыков самопознания, самоопределения, самореализации, самоутверждения.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Принцип личностно-деятельностного подхода предполагает, что в процессе внеурочной деятельности максимально учитываются национальные, половозрастные, индивидуально-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психологические, статусные особенности обучающегося. Этот учет осуществляется через содержание и форму самих учебных заданий, через характер общения с учеником. Адресованные ученику вопросы, замечания, задания в условиях личностно-деятельностного подхода стимулируют их личностную, интеллектуальную активность, поддерживают и направляют их учебную деятельность без излишнего фиксирования ошибок, промахов, неудачных действий. Этот подход формирует активность самого ученика, его готовность к учебной деятельности, к решению проблемных задач за счет равно-партнерских, доверительных субъектно-субъектных отношений с педагогом.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Реализация принципа научности предполагает обучение и воспитание на основе новейших достижений педагогики, психологии, методики, передового педагогического опыта, настойчивого внедрения в практику рекомендаций и научной организации педагогического труда.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Принцип системности. Создается система внеурочной деятельности младших школьников, в которой устанавливаются взаимосвязи между: всеми участниками внеурочной деятельности – учащимися, педагогом, родителями; основными компонентами организуемой деятельности – целевым, содержательно-деятельностным и оценочно-результативным; урочной и внеурочной деятельностью;  региональной, муниципальной, общешкольной, классной, индивидуальной системами воспитания и дополнительного образования школьников.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Принцип доступности заключается в необходимости соответствия содержания, методов и форм внеурочной деятельности возрастным особенностям обучающихся, уровню их развития. Однако доступность не должна подменяться «легкостью», обучение не может обойтись без напряжения умственных сил учащихся.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Принцип наглядности означает привлечение различных наглядных средств в процесс усвоения обучающимися знаний и формирования у них различных умений и навыков. Сущность принципа наглядности состоит в обогащении учащихся чувственным познавательным опытом, необходимым для полноценного овладения абстрактными понятиями.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Принцип успешности и социальной значимости. Усилия педагога направляются на формирование у детей потребности в достижении успеха. Важно, чтобы достигаемые ребенком результаты были не только личностно значимыми, но и ценными для окружающих, особенно для его одноклассников, членов школьного коллектива, представителей ближайшего социального окружения учебного заведения.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Личностные, метапредметные и предметные результаты освоения курса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Личностные результаты: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 готовность ученика целенаправленно использовать знания в учении и в повседневной жизни для поиска и исследования информации, представленной в различной форме;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- способность характеризовать собственные знания и умения по предметам, формулировать вопросы, устанавливать, какие из предложенных учебных и практических задач могут быть им успешно решены;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- познавательный интерес к различной информации; читательский интерес.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Метапредметные результаты: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- находит и извлекает информацию в различном контексте;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- объясняет и описывает явления на основе полученной информации;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- анализирует и интегрирует полученную информацию;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 формулирует проблему, интерпретирует и оценивает её;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делает выводы, строит прогнозы, предлагает пути решения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Предметные результаты: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Обучающийся получит возможность научиться: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 анализировать изменения своего эмоционального состояния в процессе чтения, получения и переработки полученной информации и её осмысления;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структурировать текст, используя списки, оглавление, разные виды планов;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преобразовывать текст, используя новые формы представления информации: диаграммы, таблицы, схемы, переходить от одного представления данных к другому;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интерпретировать текст;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сравнивать и противопоставлять заключённую в тексте информацию разного характера;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- обнаруживать в тексте доводы в подтверждение выдвинутых тезисов;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 делать выводы из сформулированных посылок;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 выводить заключение о намерении автора или главной мысли текста.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Виды речевой деятельности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Говорение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Диалогическая речь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Совершенствование владения всеми видами диалога на основе новой тематики и расширения ситуаций официального и неофициального общения.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Развитие умений: участвовать в беседе/дискуссии на знакомую тему, осуществлять запрос информации, обращаться за разъяснениями, выражать свое отношение к высказыванию партнера, свое мнение по обсуждаемой теме.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Обучающийся получит возможность научиться: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>Диалог этикетный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Начинать, поддерживать и заканчивать разговор.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Поздравлять, выражать пожелания и реагировать на них.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Выражать благодарность.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Выражать согласие/отказ.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  <w:u w:val="single"/>
        </w:rPr>
      </w:pP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>Диалог-расспрос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Сообщать фактическую информацию (кто, что, как, где, куда, когда, с кем, почему).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Отвечать на вопросы разных видов.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Самостоятельно запрашивать информацию.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>Диалог-побуждение к действию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Соглашаться/не соглашаться выполнить просьбу.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Давать советы.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Принимать/не принимать советы партнёра.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Приглашать к действию/взаимодействию.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>Диалог-обмен мнениями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Выслушивать сообщения/мнение партнёра.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Выражать согласие/несогласие с мнением партнёра.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>Комбинированный диалог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Сообщать информацию и выражать своё мнение.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Монологическая речь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Совершенствование владения разными видами монолога, включая высказывания в связи с увиденным/прочитанным, сообщения (в том числе при работе над проектом).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 обосновывая свои намерения/поступки; рассуждать о фактах/событиях, приводя примеры, аргументы, делая выводы; описывать особенности жизни и культуры своей страны и страны/стран изучаемого языка.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Обучающийся получит возможность научиться: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  передавать содержание, основную мысль прочитанного с опорой и без опоры на текст.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  излагать содержание прочитанного текста.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Содержание учебного курса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Раздел 1: «Работа с текстом: поиск информации и понимание прочитанного» - 6ч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Восприятие на слух и понимание различных видов сообщений. Типы речи. Речь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книжная и разговорная. Художественный стиль речи. Изобразительно-выразительные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средства. Текст, его основные признаки. Тема текста, основная мысль текста, идея.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Авторская позиция. Заголовок текста. Вычленение из текста информации, конкретных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сведений, фактов, заданных в явном виде. Основные события, содержащиеся в тексте, их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последовательность. Развитие мысли в тексте. Способы связи предложений в тексте.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Средства связи предложений в тексте. Смысловые части текста, абзац, план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текста. Упорядочивание информации по заданному основанию. Существенные признаки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объектов, описанных в тексте, их сравнение. Разные способы представления информации: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словесно, в виде рисунка, символа, таблицы, схемы. Виды чтения: ознакомительное,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изучающее, поисковое, выбор вида чтения в соответствии с целью чтения. Источники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информации: справочники, словари. Использование формальных элементов текста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(подзаголовки, сноски) для поиска нужной информации.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Раздел 2: «Работа с текстом: преобразование и интерпретация информации» - 6ч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Подробный и сжатый пересказ. Вопросы по содержанию текста. Формулирование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выводов, основанных на содержании текста. Аргументы, подтверждающие вывод.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Преобразование информации, полученной из рисунка, в текстовую задачу. Заполнение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предложенных схем с опорой на прочитанный текст. Выступление перед аудиторией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Раздел 3: «Работа с текстом: оценка информации» - 5ч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Оценка содержания, языковых особенностей и структуры текста, места и роли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иллюстраций в тексте. Выражение собственного мнения о прочитанном, его аргументация.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Достоверность и недостоверность информации в тексте, недостающая или избыточная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информация.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Соотнесение позиции автора текста с собственной точкой зрения.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Сопоставление различных точек зрения на информацию.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C23"/>
        <w:shd w:val="clear" w:color="auto" w:fill="FFFFFF"/>
        <w:spacing w:beforeAutospacing="0" w:before="280" w:afterAutospacing="0" w:after="0"/>
        <w:jc w:val="center"/>
        <w:rPr>
          <w:rStyle w:val="C50"/>
          <w:rFonts w:ascii="Calibri" w:hAnsi="Calibri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</w:t>
      </w:r>
      <w:r>
        <w:rPr>
          <w:rStyle w:val="C50"/>
          <w:b/>
          <w:bCs/>
          <w:color w:val="000000"/>
          <w:sz w:val="28"/>
          <w:szCs w:val="28"/>
        </w:rPr>
        <w:t>Календарно-тематическое планирование</w:t>
      </w:r>
    </w:p>
    <w:p>
      <w:pPr>
        <w:pStyle w:val="Normal"/>
        <w:spacing w:lineRule="auto" w:line="240" w:before="0" w:after="0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                                </w:t>
      </w:r>
    </w:p>
    <w:p>
      <w:pPr>
        <w:pStyle w:val="Normal"/>
        <w:spacing w:lineRule="auto" w:line="240" w:before="0" w:after="0"/>
        <w:rPr>
          <w:rFonts w:ascii="Calibri" w:hAnsi="Calibri" w:cs="Calibri"/>
          <w:lang w:val="en-US"/>
        </w:rPr>
      </w:pPr>
      <w:r>
        <w:rPr>
          <w:rFonts w:cs="Calibri"/>
          <w:lang w:val="en-US"/>
        </w:rPr>
      </w:r>
    </w:p>
    <w:tbl>
      <w:tblPr>
        <w:tblStyle w:val="aa"/>
        <w:tblW w:w="11624" w:type="dxa"/>
        <w:jc w:val="left"/>
        <w:tblInd w:w="-1168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85"/>
        <w:gridCol w:w="3858"/>
        <w:gridCol w:w="4501"/>
        <w:gridCol w:w="2079"/>
      </w:tblGrid>
      <w:tr>
        <w:trPr/>
        <w:tc>
          <w:tcPr>
            <w:tcW w:w="118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385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01" w:type="dxa"/>
            <w:tcBorders/>
          </w:tcPr>
          <w:p>
            <w:pPr>
              <w:pStyle w:val="NormalWeb"/>
              <w:spacing w:lineRule="atLeast" w:line="360" w:beforeAutospacing="0" w:before="280" w:afterAutospacing="0" w:after="0"/>
              <w:jc w:val="center"/>
              <w:rPr>
                <w:b/>
                <w:b/>
                <w:color w:val="111115"/>
              </w:rPr>
            </w:pPr>
            <w:r>
              <w:rPr>
                <w:b/>
                <w:color w:val="111115"/>
              </w:rPr>
              <w:t>Планируемый предметный результат обучения,</w:t>
            </w:r>
          </w:p>
          <w:p>
            <w:pPr>
              <w:pStyle w:val="NormalWeb"/>
              <w:spacing w:lineRule="atLeast" w:line="360" w:beforeAutospacing="0" w:before="280" w:afterAutospacing="0" w:after="0"/>
              <w:jc w:val="center"/>
              <w:rPr>
                <w:b/>
                <w:b/>
                <w:color w:val="111115"/>
              </w:rPr>
            </w:pPr>
            <w:r>
              <w:rPr>
                <w:b/>
                <w:color w:val="111115"/>
              </w:rPr>
              <w:t>термины и понятия, виды учебной деятельности.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07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b/>
                <w:b/>
              </w:rPr>
            </w:pPr>
            <w:r>
              <w:rPr>
                <w:rFonts w:cs="Calibri"/>
                <w:b/>
              </w:rPr>
              <w:t>Кол-во часов</w:t>
            </w:r>
          </w:p>
        </w:tc>
      </w:tr>
      <w:tr>
        <w:trPr/>
        <w:tc>
          <w:tcPr>
            <w:tcW w:w="118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5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Вводное занятие. Цели курса</w:t>
            </w:r>
          </w:p>
        </w:tc>
        <w:tc>
          <w:tcPr>
            <w:tcW w:w="450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Знакомятся с целями курса, определение собственных целей</w:t>
            </w:r>
          </w:p>
        </w:tc>
        <w:tc>
          <w:tcPr>
            <w:tcW w:w="20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</w:rPr>
            </w:pPr>
            <w:r>
              <w:rPr>
                <w:rFonts w:cs="Calibri"/>
              </w:rPr>
              <w:t>1</w:t>
            </w:r>
          </w:p>
        </w:tc>
      </w:tr>
      <w:tr>
        <w:trPr/>
        <w:tc>
          <w:tcPr>
            <w:tcW w:w="118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5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Работа с текстом. Определение основной темы в произведении</w:t>
            </w:r>
          </w:p>
        </w:tc>
        <w:tc>
          <w:tcPr>
            <w:tcW w:w="450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Работают с текстом</w:t>
            </w:r>
          </w:p>
        </w:tc>
        <w:tc>
          <w:tcPr>
            <w:tcW w:w="20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</w:rPr>
            </w:pPr>
            <w:r>
              <w:rPr>
                <w:rFonts w:cs="Calibri"/>
              </w:rPr>
              <w:t>1</w:t>
            </w:r>
          </w:p>
        </w:tc>
      </w:tr>
      <w:tr>
        <w:trPr/>
        <w:tc>
          <w:tcPr>
            <w:tcW w:w="118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5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Сопоставление содержания текстов разговорного стиля</w:t>
            </w:r>
          </w:p>
        </w:tc>
        <w:tc>
          <w:tcPr>
            <w:tcW w:w="450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Осваивают разные виды чтения: просмотровое, ознакомительное, поисковое, изучающее чтение, понимание текста</w:t>
            </w:r>
          </w:p>
        </w:tc>
        <w:tc>
          <w:tcPr>
            <w:tcW w:w="20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</w:rPr>
            </w:pPr>
            <w:r>
              <w:rPr>
                <w:rFonts w:cs="Calibri"/>
              </w:rPr>
              <w:t>1</w:t>
            </w:r>
          </w:p>
        </w:tc>
      </w:tr>
      <w:tr>
        <w:trPr/>
        <w:tc>
          <w:tcPr>
            <w:tcW w:w="118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5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Работа с текстом: как выделить главную мысль текста или его частей?</w:t>
            </w:r>
          </w:p>
        </w:tc>
        <w:tc>
          <w:tcPr>
            <w:tcW w:w="450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Интерпретируют текст, выделяют главную мысль текста и его частей</w:t>
            </w:r>
          </w:p>
        </w:tc>
        <w:tc>
          <w:tcPr>
            <w:tcW w:w="20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</w:rPr>
            </w:pPr>
            <w:r>
              <w:rPr>
                <w:rFonts w:cs="Calibri"/>
              </w:rPr>
              <w:t>1</w:t>
            </w:r>
          </w:p>
        </w:tc>
      </w:tr>
      <w:tr>
        <w:trPr/>
        <w:tc>
          <w:tcPr>
            <w:tcW w:w="118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5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Вычленение нужной информации из текстов-описания разного функционального назначения</w:t>
            </w:r>
          </w:p>
        </w:tc>
        <w:tc>
          <w:tcPr>
            <w:tcW w:w="450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Используют содержания текстов для достижения собственных целей,для развития своих знаний </w:t>
            </w:r>
          </w:p>
        </w:tc>
        <w:tc>
          <w:tcPr>
            <w:tcW w:w="20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</w:rPr>
            </w:pPr>
            <w:r>
              <w:rPr>
                <w:rFonts w:cs="Calibri"/>
              </w:rPr>
              <w:t>1</w:t>
            </w:r>
          </w:p>
        </w:tc>
      </w:tr>
      <w:tr>
        <w:trPr/>
        <w:tc>
          <w:tcPr>
            <w:tcW w:w="118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5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«Чтение с вопросами»</w:t>
            </w:r>
          </w:p>
        </w:tc>
        <w:tc>
          <w:tcPr>
            <w:tcW w:w="450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Находят в тексте информации, заданной в явном или неявном виде</w:t>
            </w:r>
          </w:p>
        </w:tc>
        <w:tc>
          <w:tcPr>
            <w:tcW w:w="20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</w:rPr>
            </w:pPr>
            <w:r>
              <w:rPr>
                <w:rFonts w:cs="Calibri"/>
              </w:rPr>
              <w:t>1</w:t>
            </w:r>
          </w:p>
        </w:tc>
      </w:tr>
      <w:tr>
        <w:trPr/>
        <w:tc>
          <w:tcPr>
            <w:tcW w:w="118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5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Работа со сплошным текстом</w:t>
            </w:r>
          </w:p>
        </w:tc>
        <w:tc>
          <w:tcPr>
            <w:tcW w:w="450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Находят в тексте информации, заданной в явном или неявном виде</w:t>
            </w:r>
          </w:p>
        </w:tc>
        <w:tc>
          <w:tcPr>
            <w:tcW w:w="20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</w:rPr>
            </w:pPr>
            <w:r>
              <w:rPr>
                <w:rFonts w:cs="Calibri"/>
              </w:rPr>
              <w:t>1</w:t>
            </w:r>
          </w:p>
        </w:tc>
      </w:tr>
      <w:tr>
        <w:trPr/>
        <w:tc>
          <w:tcPr>
            <w:tcW w:w="118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5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Поиск комментариев, подтверждающих основную мысль текста, предложенного для анализа</w:t>
            </w:r>
          </w:p>
        </w:tc>
        <w:tc>
          <w:tcPr>
            <w:tcW w:w="450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Поиск материала к основной мысли текста</w:t>
            </w:r>
          </w:p>
        </w:tc>
        <w:tc>
          <w:tcPr>
            <w:tcW w:w="20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</w:rPr>
            </w:pPr>
            <w:r>
              <w:rPr>
                <w:rFonts w:cs="Calibri"/>
              </w:rPr>
              <w:t>1</w:t>
            </w:r>
          </w:p>
        </w:tc>
      </w:tr>
      <w:tr>
        <w:trPr/>
        <w:tc>
          <w:tcPr>
            <w:tcW w:w="118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5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Работа с не сплошным текстом: информационные листы и объявления</w:t>
            </w:r>
          </w:p>
        </w:tc>
        <w:tc>
          <w:tcPr>
            <w:tcW w:w="450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Учатся писать деловые объявления</w:t>
            </w:r>
          </w:p>
        </w:tc>
        <w:tc>
          <w:tcPr>
            <w:tcW w:w="20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</w:rPr>
            </w:pPr>
            <w:r>
              <w:rPr>
                <w:rFonts w:cs="Calibri"/>
              </w:rPr>
              <w:t>1</w:t>
            </w:r>
          </w:p>
        </w:tc>
      </w:tr>
      <w:tr>
        <w:trPr/>
        <w:tc>
          <w:tcPr>
            <w:tcW w:w="118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5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Работа с не сплошным текстом: графики и диаграммы</w:t>
            </w:r>
          </w:p>
        </w:tc>
        <w:tc>
          <w:tcPr>
            <w:tcW w:w="450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Учатся строить графики</w:t>
            </w:r>
          </w:p>
        </w:tc>
        <w:tc>
          <w:tcPr>
            <w:tcW w:w="20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</w:rPr>
            </w:pPr>
            <w:r>
              <w:rPr>
                <w:rFonts w:cs="Calibri"/>
              </w:rPr>
              <w:t>1</w:t>
            </w:r>
          </w:p>
        </w:tc>
      </w:tr>
      <w:tr>
        <w:trPr/>
        <w:tc>
          <w:tcPr>
            <w:tcW w:w="118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5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Чтение и решение учебных текстов. Тестовые задания с выбором ответа</w:t>
            </w:r>
          </w:p>
        </w:tc>
        <w:tc>
          <w:tcPr>
            <w:tcW w:w="450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Находят в тексте информацию, заданную в явном или неявном виде</w:t>
            </w:r>
          </w:p>
        </w:tc>
        <w:tc>
          <w:tcPr>
            <w:tcW w:w="20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</w:rPr>
            </w:pPr>
            <w:r>
              <w:rPr>
                <w:rFonts w:cs="Calibri"/>
              </w:rPr>
              <w:t>1</w:t>
            </w:r>
          </w:p>
        </w:tc>
      </w:tr>
      <w:tr>
        <w:trPr/>
        <w:tc>
          <w:tcPr>
            <w:tcW w:w="118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5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Чтение и решение учебных текстов. Тестовые задания с развёрнутым ответом на вопрос</w:t>
            </w:r>
          </w:p>
        </w:tc>
        <w:tc>
          <w:tcPr>
            <w:tcW w:w="450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Находят в тексте информацию, заданную в явном или неявном виде</w:t>
            </w:r>
          </w:p>
        </w:tc>
        <w:tc>
          <w:tcPr>
            <w:tcW w:w="20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</w:rPr>
            </w:pPr>
            <w:r>
              <w:rPr>
                <w:rFonts w:cs="Calibri"/>
              </w:rPr>
              <w:t>1</w:t>
            </w:r>
          </w:p>
        </w:tc>
      </w:tr>
      <w:tr>
        <w:trPr/>
        <w:tc>
          <w:tcPr>
            <w:tcW w:w="118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5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Работа с не сплошным текстом: таблицы и карты.</w:t>
            </w:r>
          </w:p>
        </w:tc>
        <w:tc>
          <w:tcPr>
            <w:tcW w:w="450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Учатся строить таблицы</w:t>
            </w:r>
          </w:p>
        </w:tc>
        <w:tc>
          <w:tcPr>
            <w:tcW w:w="20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</w:rPr>
            </w:pPr>
            <w:r>
              <w:rPr>
                <w:rFonts w:cs="Calibri"/>
              </w:rPr>
              <w:t>1</w:t>
            </w:r>
          </w:p>
        </w:tc>
      </w:tr>
      <w:tr>
        <w:trPr/>
        <w:tc>
          <w:tcPr>
            <w:tcW w:w="118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5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Обобщение и систематизация материала. Анализ текста</w:t>
            </w:r>
          </w:p>
        </w:tc>
        <w:tc>
          <w:tcPr>
            <w:tcW w:w="450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Тренировка в практике</w:t>
            </w:r>
          </w:p>
        </w:tc>
        <w:tc>
          <w:tcPr>
            <w:tcW w:w="20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</w:rPr>
            </w:pPr>
            <w:r>
              <w:rPr>
                <w:rFonts w:cs="Calibri"/>
              </w:rPr>
              <w:t>1</w:t>
            </w:r>
          </w:p>
        </w:tc>
      </w:tr>
      <w:tr>
        <w:trPr/>
        <w:tc>
          <w:tcPr>
            <w:tcW w:w="118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5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Работа с текстом: преобразование и интерпретация информации</w:t>
            </w:r>
          </w:p>
        </w:tc>
        <w:tc>
          <w:tcPr>
            <w:tcW w:w="450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Сравнивают и противопоставляют заключённой в тексте информацию разного характера</w:t>
            </w:r>
          </w:p>
        </w:tc>
        <w:tc>
          <w:tcPr>
            <w:tcW w:w="20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</w:rPr>
            </w:pPr>
            <w:r>
              <w:rPr>
                <w:rFonts w:cs="Calibri"/>
              </w:rPr>
              <w:t>1</w:t>
            </w:r>
          </w:p>
        </w:tc>
      </w:tr>
      <w:tr>
        <w:trPr/>
        <w:tc>
          <w:tcPr>
            <w:tcW w:w="118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5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cs="Times New Roman" w:ascii="Times New Roman" w:hAnsi="Times New Roman"/>
                <w:sz w:val="24"/>
                <w:szCs w:val="24"/>
              </w:rPr>
              <w:t>О</w:t>
            </w:r>
            <w:bookmarkEnd w:id="0"/>
            <w:r>
              <w:rPr>
                <w:rFonts w:cs="Times New Roman" w:ascii="Times New Roman" w:hAnsi="Times New Roman"/>
                <w:sz w:val="24"/>
                <w:szCs w:val="24"/>
              </w:rPr>
              <w:t>бобщение прочитанного. Беседа по содержанию текста</w:t>
            </w:r>
          </w:p>
        </w:tc>
        <w:tc>
          <w:tcPr>
            <w:tcW w:w="450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Понимают и оценивают содержание текста</w:t>
            </w:r>
          </w:p>
        </w:tc>
        <w:tc>
          <w:tcPr>
            <w:tcW w:w="20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</w:rPr>
            </w:pPr>
            <w:r>
              <w:rPr>
                <w:rFonts w:cs="Calibri"/>
              </w:rPr>
              <w:t>1</w:t>
            </w:r>
          </w:p>
        </w:tc>
      </w:tr>
      <w:tr>
        <w:trPr/>
        <w:tc>
          <w:tcPr>
            <w:tcW w:w="118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>17</w:t>
            </w:r>
          </w:p>
        </w:tc>
        <w:tc>
          <w:tcPr>
            <w:tcW w:w="385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Обобщение и заключение. Итоговое занятие</w:t>
            </w:r>
          </w:p>
        </w:tc>
        <w:tc>
          <w:tcPr>
            <w:tcW w:w="45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Обобщение и систематизация знаний учащихся по курсу</w:t>
            </w:r>
          </w:p>
        </w:tc>
        <w:tc>
          <w:tcPr>
            <w:tcW w:w="207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</w:rPr>
            </w:pPr>
            <w:r>
              <w:rPr/>
              <w:t>1</w:t>
            </w:r>
          </w:p>
        </w:tc>
      </w:tr>
    </w:tbl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C13"/>
        <w:shd w:val="clear" w:color="auto" w:fill="FFFFFF"/>
        <w:spacing w:beforeAutospacing="0" w:before="280" w:afterAutospacing="0" w:after="0"/>
        <w:rPr>
          <w:rStyle w:val="C12"/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C13"/>
        <w:shd w:val="clear" w:color="auto" w:fill="FFFFFF"/>
        <w:spacing w:beforeAutospacing="0" w:before="280" w:afterAutospacing="0" w:after="0"/>
        <w:rPr>
          <w:rFonts w:ascii="Calibri" w:hAnsi="Calibri"/>
          <w:color w:val="000000"/>
          <w:sz w:val="20"/>
          <w:szCs w:val="20"/>
        </w:rPr>
      </w:pPr>
      <w:r>
        <w:rPr>
          <w:rStyle w:val="C12"/>
          <w:b/>
          <w:bCs/>
          <w:color w:val="000000"/>
        </w:rPr>
        <w:t>Список используемой литературы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Autospacing="1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cs="Times New Roman" w:ascii="Times New Roman" w:hAnsi="Times New Roman"/>
          <w:color w:val="000000"/>
          <w:sz w:val="24"/>
          <w:szCs w:val="24"/>
        </w:rPr>
        <w:t>Авторская программа общеобразовательных учреждений «Английский язык»,5- 9 класс, Н.И. Быкова, М.Д. Поспелова.- М: «Просвещение», 2012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cs="Times New Roman" w:ascii="Times New Roman" w:hAnsi="Times New Roman"/>
          <w:color w:val="000000"/>
          <w:sz w:val="24"/>
          <w:szCs w:val="24"/>
        </w:rPr>
        <w:t>Английский язык.7 класс: Учебник для общеобразовательных учреждений / Н. И. Быкова, Дж. Дули, М. Д. Поспелова, В. Эванс. М.: Просвещение, 2020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«Функциональная грамотность. Учимся для жизни. Сборник эталонных заданий». Учебное пособие для общеобразовательных организаций; под редакцией Г.С. Ковалёвой, Л.О. Рословой. – М.; СПб.: Просвещение, 2020»</w:t>
      </w:r>
    </w:p>
    <w:p>
      <w:pPr>
        <w:pStyle w:val="ListParagraph"/>
        <w:numPr>
          <w:ilvl w:val="0"/>
          <w:numId w:val="1"/>
        </w:numPr>
        <w:spacing w:lineRule="auto" w:line="264" w:before="0"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«Развитие функциональной грамотности обучающихся основной школы: методическое пособие для педагогов / Под общей редакцией Л.Ю. Панариной, И.В. Сорокиной, О.А. Смагиной, Е.А. Зайцевой. – Самара: СИПКРО, 2019» </w:t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2240" w:h="15840"/>
      <w:pgMar w:left="1701" w:right="850" w:header="0" w:top="1134" w:footer="0" w:bottom="1134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Times New Roman CYR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1" w:customStyle="1">
    <w:name w:val="c1"/>
    <w:basedOn w:val="DefaultParagraphFont"/>
    <w:qFormat/>
    <w:rsid w:val="00975e8e"/>
    <w:rPr/>
  </w:style>
  <w:style w:type="character" w:styleId="C12" w:customStyle="1">
    <w:name w:val="c12"/>
    <w:basedOn w:val="DefaultParagraphFont"/>
    <w:qFormat/>
    <w:rsid w:val="006832fc"/>
    <w:rPr/>
  </w:style>
  <w:style w:type="character" w:styleId="C27" w:customStyle="1">
    <w:name w:val="c27"/>
    <w:basedOn w:val="DefaultParagraphFont"/>
    <w:qFormat/>
    <w:rsid w:val="006832fc"/>
    <w:rPr/>
  </w:style>
  <w:style w:type="character" w:styleId="C50" w:customStyle="1">
    <w:name w:val="c50"/>
    <w:basedOn w:val="DefaultParagraphFont"/>
    <w:qFormat/>
    <w:rsid w:val="006832fc"/>
    <w:rPr/>
  </w:style>
  <w:style w:type="paragraph" w:styleId="Style14" w:customStyle="1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3" w:customStyle="1">
    <w:name w:val="c3"/>
    <w:basedOn w:val="Normal"/>
    <w:qFormat/>
    <w:rsid w:val="00975e8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13" w:customStyle="1">
    <w:name w:val="c13"/>
    <w:basedOn w:val="Normal"/>
    <w:qFormat/>
    <w:rsid w:val="006832f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832fc"/>
    <w:pPr>
      <w:spacing w:before="0" w:after="200"/>
      <w:ind w:left="720" w:hanging="0"/>
      <w:contextualSpacing/>
    </w:pPr>
    <w:rPr/>
  </w:style>
  <w:style w:type="paragraph" w:styleId="C23" w:customStyle="1">
    <w:name w:val="c23"/>
    <w:basedOn w:val="Normal"/>
    <w:qFormat/>
    <w:rsid w:val="006832f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cc639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cc6390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48ABF-6E3D-48DB-90C0-6EAF60F59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Application>LibreOffice/6.4.7.2$Linux_X86_64 LibreOffice_project/40$Build-2</Application>
  <Pages>9</Pages>
  <Words>1614</Words>
  <Characters>11877</Characters>
  <CharactersWithSpaces>13408</CharactersWithSpaces>
  <Paragraphs>178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2023-08-30T14:47:00Z</dcterms:created>
  <dc:creator>USER</dc:creator>
  <dc:description/>
  <dc:language>ru-RU</dc:language>
  <cp:lastModifiedBy/>
  <dcterms:modified xsi:type="dcterms:W3CDTF">2023-12-28T11:14:46Z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